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Приложение</w:t>
      </w:r>
    </w:p>
    <w:p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к справке УФНС России </w:t>
      </w:r>
    </w:p>
    <w:p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по Магаданской области </w:t>
      </w:r>
    </w:p>
    <w:p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от  7  июля 2020 г.</w:t>
      </w:r>
    </w:p>
    <w:p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</w:t>
      </w:r>
    </w:p>
    <w:p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Статистика по обращениям граждан,</w:t>
      </w:r>
    </w:p>
    <w:p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поступившим</w:t>
      </w:r>
      <w:proofErr w:type="gramEnd"/>
      <w:r>
        <w:rPr>
          <w:rFonts w:ascii="Times New Roman" w:hAnsi="Times New Roman"/>
          <w:sz w:val="24"/>
          <w:szCs w:val="24"/>
        </w:rPr>
        <w:t xml:space="preserve"> в УФНС России по Магаданской области и подведомственные налоговые органы</w:t>
      </w:r>
      <w:bookmarkStart w:id="0" w:name="_GoBack"/>
      <w:bookmarkEnd w:id="0"/>
    </w:p>
    <w:p>
      <w:pPr>
        <w:spacing w:after="0" w:line="240" w:lineRule="auto"/>
        <w:jc w:val="center"/>
        <w:rPr>
          <w:rFonts w:ascii="Times New Roman" w:hAnsi="Times New Roman"/>
          <w:noProof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период с 1 апреля </w:t>
      </w:r>
      <w:r>
        <w:rPr>
          <w:rFonts w:ascii="Times New Roman" w:hAnsi="Times New Roman"/>
          <w:noProof/>
          <w:color w:val="000000"/>
          <w:sz w:val="24"/>
          <w:szCs w:val="24"/>
        </w:rPr>
        <w:t>2020 г. по 30 июня 2020 г.</w:t>
      </w:r>
    </w:p>
    <w:p>
      <w:pPr>
        <w:spacing w:after="0" w:line="240" w:lineRule="auto"/>
        <w:jc w:val="center"/>
        <w:rPr>
          <w:rFonts w:ascii="Times New Roman" w:hAnsi="Times New Roman"/>
          <w:noProof/>
          <w:color w:val="000000"/>
          <w:sz w:val="28"/>
          <w:szCs w:val="28"/>
        </w:rPr>
      </w:pPr>
    </w:p>
    <w:tbl>
      <w:tblPr>
        <w:tblW w:w="1630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1559"/>
        <w:gridCol w:w="663"/>
        <w:gridCol w:w="896"/>
        <w:gridCol w:w="709"/>
        <w:gridCol w:w="851"/>
        <w:gridCol w:w="708"/>
        <w:gridCol w:w="851"/>
        <w:gridCol w:w="851"/>
        <w:gridCol w:w="708"/>
        <w:gridCol w:w="850"/>
        <w:gridCol w:w="851"/>
        <w:gridCol w:w="710"/>
        <w:gridCol w:w="850"/>
        <w:gridCol w:w="851"/>
        <w:gridCol w:w="850"/>
        <w:gridCol w:w="709"/>
        <w:gridCol w:w="709"/>
        <w:gridCol w:w="709"/>
        <w:gridCol w:w="992"/>
      </w:tblGrid>
      <w:tr>
        <w:trPr>
          <w:trHeight w:val="39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Наименование территориального налогового органа</w:t>
            </w:r>
          </w:p>
        </w:tc>
        <w:tc>
          <w:tcPr>
            <w:tcW w:w="14318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Количество обращений</w:t>
            </w:r>
          </w:p>
        </w:tc>
      </w:tr>
      <w:tr>
        <w:trPr>
          <w:trHeight w:val="39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6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3655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в том числе по тематике вопросов </w:t>
            </w:r>
            <w:r>
              <w:rPr>
                <w:rFonts w:ascii="Times New Roman" w:hAnsi="Times New Roman"/>
                <w:noProof/>
                <w:color w:val="000000"/>
                <w:sz w:val="16"/>
                <w:szCs w:val="16"/>
              </w:rPr>
              <w:t xml:space="preserve">в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соответствии с </w:t>
            </w:r>
            <w:r>
              <w:rPr>
                <w:rFonts w:ascii="Times New Roman" w:hAnsi="Times New Roman"/>
                <w:noProof/>
                <w:color w:val="000000"/>
                <w:sz w:val="16"/>
                <w:szCs w:val="16"/>
              </w:rPr>
              <w:t>тематическим классификатором обращений, шт. (%)</w:t>
            </w:r>
          </w:p>
        </w:tc>
      </w:tr>
      <w:tr>
        <w:trPr>
          <w:cantSplit/>
          <w:trHeight w:val="2759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0003.0008.0086.1198 Обжалование решений государственных органов и должностных лиц‚ споров с физическими и юридическими лицами по обжалованию актов ненормативного характера и действий (бездействия) должностных лиц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0003.0008.0086.0540 </w:t>
            </w:r>
          </w:p>
          <w:p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0003.0008.0086.0543 </w:t>
            </w:r>
          </w:p>
          <w:p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noProof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Транспортный налог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0003.0008.0086.0544 </w:t>
            </w:r>
          </w:p>
          <w:p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noProof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Налог на имущество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0003.0008.0086.0545</w:t>
            </w:r>
          </w:p>
          <w:p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noProof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               </w:t>
            </w:r>
            <w:r>
              <w:rPr>
                <w:rFonts w:ascii="Times New Roman" w:hAnsi="Times New Roman"/>
                <w:sz w:val="16"/>
                <w:szCs w:val="16"/>
              </w:rPr>
              <w:t>0003.0008.0086.0548 Налогообложение малого бизнеса, специальных налоговых режимов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0003.0008.0086.0558  Задолженность по налогам, сборам и взносам  в бюджеты государственных  внебюджетных фондов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0003.0008.0086.0560</w:t>
            </w:r>
          </w:p>
          <w:p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Уклонение от налогообложения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0003.0008.0086.0564</w:t>
            </w:r>
          </w:p>
          <w:p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Контроль исполнения налогового законодательства физическими и юридическими лицами</w:t>
            </w:r>
          </w:p>
        </w:tc>
        <w:tc>
          <w:tcPr>
            <w:tcW w:w="710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0003.0008.0086.0557 Возврат или  зачёт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0003.0008.0086.0552 </w:t>
            </w:r>
          </w:p>
          <w:p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Организация работы с налогоплательщиками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0003.0008.0086.0565 </w:t>
            </w:r>
          </w:p>
          <w:p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Регистрация юридических лиц, физических лиц  в качестве индивид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редпринимателей и КФХ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0003.0008.0086.0562 Оказание услуг в электронной форме. Пользование информационными ресурсами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003.0008.0086.0567</w:t>
            </w:r>
          </w:p>
          <w:p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Надзор в области организации и проведения  азартных игр и лотерей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003.0008.0086.0551</w:t>
            </w:r>
          </w:p>
          <w:p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Учёт налогоплательщиков. Получение и отказ от ИНН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0003.0008.0086.0568 Регистрация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контрольно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– кассовой техники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используемой организациями и индивид. предпринимателями</w:t>
            </w:r>
          </w:p>
          <w:p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 другим вопросам</w:t>
            </w:r>
          </w:p>
        </w:tc>
      </w:tr>
      <w:tr>
        <w:trPr>
          <w:trHeight w:val="6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4900</w:t>
            </w:r>
          </w:p>
          <w:p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УФНС России   по Магаданской области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61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24</w:t>
            </w:r>
          </w:p>
        </w:tc>
      </w:tr>
      <w:tr>
        <w:trPr>
          <w:trHeight w:val="8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4910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Межрайонная</w:t>
            </w:r>
            <w:proofErr w:type="gramEnd"/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ИФНС России № 1  по Магаданской области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696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49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248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287</w:t>
            </w:r>
          </w:p>
        </w:tc>
      </w:tr>
      <w:tr>
        <w:trPr>
          <w:trHeight w:val="8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491</w:t>
            </w: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val="en-US"/>
              </w:rPr>
              <w:t>1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Межрайонная</w:t>
            </w:r>
            <w:proofErr w:type="gramEnd"/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ИФНС России № 2  по Магаданской области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41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15</w:t>
            </w:r>
          </w:p>
        </w:tc>
      </w:tr>
      <w:tr>
        <w:trPr>
          <w:trHeight w:val="8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491</w:t>
            </w: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val="en-US"/>
              </w:rPr>
              <w:t>2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Межрайонная</w:t>
            </w:r>
            <w:proofErr w:type="gramEnd"/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ИФНС России № 3  по Магаданской области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47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18</w:t>
            </w:r>
          </w:p>
        </w:tc>
      </w:tr>
      <w:tr>
        <w:trPr>
          <w:trHeight w:val="8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  <w:p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ind w:right="-154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845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6</w:t>
            </w:r>
          </w:p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0.7%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1</w:t>
            </w:r>
          </w:p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0.1%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17</w:t>
            </w:r>
          </w:p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2%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13</w:t>
            </w:r>
          </w:p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1.5%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25</w:t>
            </w:r>
          </w:p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2.9%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31</w:t>
            </w:r>
          </w:p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3.6%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58</w:t>
            </w:r>
          </w:p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6.8%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8</w:t>
            </w:r>
          </w:p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0.9%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37</w:t>
            </w:r>
          </w:p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4.3%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4</w:t>
            </w:r>
          </w:p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0.4%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1</w:t>
            </w:r>
          </w:p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0.1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252</w:t>
            </w:r>
          </w:p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29.8%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4</w:t>
            </w:r>
          </w:p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0.4%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37</w:t>
            </w:r>
          </w:p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4.3%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4</w:t>
            </w:r>
          </w:p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0.4%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344</w:t>
            </w:r>
          </w:p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40.7%</w:t>
            </w:r>
          </w:p>
        </w:tc>
      </w:tr>
    </w:tbl>
    <w:p>
      <w:pPr>
        <w:spacing w:after="0" w:line="240" w:lineRule="auto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</w:p>
    <w:sectPr>
      <w:headerReference w:type="default" r:id="rId8"/>
      <w:pgSz w:w="16838" w:h="11906" w:orient="landscape" w:code="9"/>
      <w:pgMar w:top="567" w:right="851" w:bottom="284" w:left="567" w:header="454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a5"/>
      <w:jc w:val="right"/>
    </w:pPr>
    <w:r>
      <w:t xml:space="preserve"> </w:t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Pr>
      <w:rFonts w:ascii="Segoe UI" w:eastAsia="Calibr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Pr>
      <w:rFonts w:ascii="Segoe UI" w:eastAsia="Calibr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0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5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000-0~2\AppData\Local\Temp\rad7058DBlankToImport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A4896B-7F6D-460A-B629-735E2FE21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rad7058DBlankToImport.dot</Template>
  <TotalTime>376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Вараксина Юлия Викторовна</dc:creator>
  <cp:lastModifiedBy>Мычко</cp:lastModifiedBy>
  <cp:revision>19</cp:revision>
  <cp:lastPrinted>2020-07-06T23:03:00Z</cp:lastPrinted>
  <dcterms:created xsi:type="dcterms:W3CDTF">2019-09-02T22:34:00Z</dcterms:created>
  <dcterms:modified xsi:type="dcterms:W3CDTF">2020-07-06T23:12:00Z</dcterms:modified>
</cp:coreProperties>
</file>